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7" w:rsidRPr="00F85EA7" w:rsidRDefault="00DE0F4B" w:rsidP="00DE0F4B">
      <w:pPr>
        <w:rPr>
          <w:rFonts w:cs="Arial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11E9D8BB" wp14:editId="532C3634">
            <wp:extent cx="1285875" cy="115252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sz w:val="36"/>
          <w:szCs w:val="36"/>
        </w:rPr>
        <w:tab/>
      </w:r>
      <w:r>
        <w:rPr>
          <w:rFonts w:cs="Arial"/>
          <w:bCs/>
          <w:sz w:val="36"/>
          <w:szCs w:val="36"/>
        </w:rPr>
        <w:tab/>
      </w:r>
      <w:r>
        <w:rPr>
          <w:rFonts w:cs="Arial"/>
          <w:bCs/>
          <w:sz w:val="36"/>
          <w:szCs w:val="36"/>
        </w:rPr>
        <w:tab/>
      </w:r>
      <w:r>
        <w:rPr>
          <w:rFonts w:cs="Arial"/>
          <w:bCs/>
          <w:sz w:val="36"/>
          <w:szCs w:val="36"/>
        </w:rPr>
        <w:tab/>
      </w:r>
      <w:r>
        <w:rPr>
          <w:rFonts w:cs="Arial"/>
          <w:bCs/>
          <w:sz w:val="36"/>
          <w:szCs w:val="36"/>
        </w:rPr>
        <w:tab/>
      </w:r>
      <w:r>
        <w:rPr>
          <w:rFonts w:cs="Arial"/>
          <w:bCs/>
          <w:sz w:val="36"/>
          <w:szCs w:val="36"/>
        </w:rPr>
        <w:tab/>
      </w:r>
      <w:r w:rsidR="00F85EA7" w:rsidRPr="00F85EA7">
        <w:rPr>
          <w:rFonts w:cs="Arial"/>
          <w:b/>
          <w:bCs/>
          <w:noProof/>
          <w:sz w:val="36"/>
          <w:szCs w:val="36"/>
          <w:lang w:eastAsia="en-GB"/>
        </w:rPr>
        <w:drawing>
          <wp:inline distT="0" distB="0" distL="0" distR="0" wp14:anchorId="60A6CB68" wp14:editId="79D64FE3">
            <wp:extent cx="1924050" cy="876300"/>
            <wp:effectExtent l="0" t="0" r="0" b="0"/>
            <wp:docPr id="1" name="Picture 1" descr="\\FA-FS01\HOME\probni\Desktop\Family Action Logos Letterhead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-FS01\HOME\probni\Desktop\Family Action Logos Letterhead\New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4B" w:rsidRPr="00684F21" w:rsidRDefault="00DE0F4B" w:rsidP="00DE0F4B">
      <w:pPr>
        <w:rPr>
          <w:rFonts w:ascii="VAGRounded LT Light" w:hAnsi="VAGRounded LT Light"/>
          <w:b/>
          <w:color w:val="404040" w:themeColor="text1" w:themeTint="BF"/>
          <w:sz w:val="28"/>
          <w:szCs w:val="28"/>
        </w:rPr>
      </w:pPr>
      <w:r w:rsidRPr="00684F21">
        <w:rPr>
          <w:rFonts w:ascii="VAGRounded LT Thin" w:eastAsia="Times New Roman" w:hAnsi="VAGRounded LT Thin" w:cs="Times New Roman"/>
          <w:b/>
          <w:color w:val="88B540"/>
          <w:sz w:val="28"/>
          <w:szCs w:val="28"/>
        </w:rPr>
        <w:t>Placing children first</w:t>
      </w:r>
      <w:r w:rsidRPr="00684F21">
        <w:rPr>
          <w:i/>
          <w:noProof/>
          <w:sz w:val="28"/>
          <w:szCs w:val="28"/>
          <w:lang w:eastAsia="en-GB"/>
        </w:rPr>
        <w:t xml:space="preserve">                       </w:t>
      </w:r>
    </w:p>
    <w:p w:rsidR="007D7C97" w:rsidRPr="00CE7F61" w:rsidRDefault="00361F34" w:rsidP="007D7C97">
      <w:pPr>
        <w:jc w:val="center"/>
        <w:rPr>
          <w:rFonts w:ascii="VAG Rounded Std" w:hAnsi="VAG Rounded Std" w:cs="Arial"/>
          <w:b/>
          <w:bCs/>
          <w:color w:val="595959" w:themeColor="text1" w:themeTint="A6"/>
          <w:sz w:val="36"/>
          <w:szCs w:val="36"/>
          <w:u w:val="single"/>
        </w:rPr>
      </w:pPr>
      <w:r>
        <w:rPr>
          <w:rFonts w:ascii="VAG Rounded Std" w:hAnsi="VAG Rounded Std" w:cs="Arial"/>
          <w:b/>
          <w:bCs/>
          <w:color w:val="595959" w:themeColor="text1" w:themeTint="A6"/>
          <w:sz w:val="36"/>
          <w:szCs w:val="36"/>
          <w:u w:val="single"/>
        </w:rPr>
        <w:t>Child Protection and Safeguarding for Designated Safeguarding Leads</w:t>
      </w:r>
    </w:p>
    <w:p w:rsidR="00D34B11" w:rsidRPr="00CE7F61" w:rsidRDefault="00D34B11" w:rsidP="007D7C97">
      <w:pPr>
        <w:jc w:val="center"/>
        <w:rPr>
          <w:rFonts w:ascii="VAG Rounded Std" w:hAnsi="VAG Rounded Std" w:cs="Arial"/>
          <w:b/>
          <w:bCs/>
          <w:color w:val="595959" w:themeColor="text1" w:themeTint="A6"/>
          <w:sz w:val="20"/>
          <w:szCs w:val="36"/>
          <w:u w:val="single"/>
        </w:rPr>
      </w:pPr>
    </w:p>
    <w:p w:rsidR="000E0A74" w:rsidRPr="00CE7F61" w:rsidRDefault="000E0A74" w:rsidP="007864A4">
      <w:pPr>
        <w:rPr>
          <w:rFonts w:ascii="VAG Rounded Std" w:hAnsi="VAG Rounded Std" w:cs="Arial"/>
          <w:b/>
          <w:bCs/>
          <w:color w:val="92D050"/>
          <w:sz w:val="32"/>
          <w:szCs w:val="36"/>
        </w:rPr>
      </w:pPr>
      <w:r w:rsidRPr="00CE7F61">
        <w:rPr>
          <w:rFonts w:ascii="VAG Rounded Std" w:hAnsi="VAG Rounded Std" w:cs="Arial"/>
          <w:b/>
          <w:bCs/>
          <w:color w:val="92D050"/>
          <w:sz w:val="32"/>
          <w:szCs w:val="36"/>
        </w:rPr>
        <w:t>Aim</w:t>
      </w:r>
    </w:p>
    <w:p w:rsidR="00361F34" w:rsidRDefault="00E34EC0" w:rsidP="00361F34">
      <w:pPr>
        <w:pStyle w:val="Default"/>
        <w:rPr>
          <w:color w:val="525E65"/>
          <w:sz w:val="19"/>
          <w:szCs w:val="19"/>
        </w:rPr>
      </w:pPr>
      <w:r w:rsidRPr="00CE7F61">
        <w:rPr>
          <w:rFonts w:ascii="VAG Rounded Std" w:hAnsi="VAG Rounded Std"/>
          <w:bCs/>
          <w:color w:val="595959" w:themeColor="text1" w:themeTint="A6"/>
          <w:sz w:val="28"/>
          <w:szCs w:val="32"/>
        </w:rPr>
        <w:t xml:space="preserve">This training aims </w:t>
      </w:r>
      <w:r w:rsidR="00361F34">
        <w:rPr>
          <w:rFonts w:ascii="VAG Rounded Std" w:hAnsi="VAG Rounded Std"/>
          <w:bCs/>
          <w:color w:val="595959" w:themeColor="text1" w:themeTint="A6"/>
          <w:sz w:val="28"/>
          <w:szCs w:val="32"/>
        </w:rPr>
        <w:t>enable Designated Safeguarding Leads in Early Years settings, Out of School provision</w:t>
      </w:r>
      <w:r w:rsidR="003F0F50">
        <w:rPr>
          <w:rFonts w:ascii="VAG Rounded Std" w:hAnsi="VAG Rounded Std"/>
          <w:bCs/>
          <w:color w:val="595959" w:themeColor="text1" w:themeTint="A6"/>
          <w:sz w:val="28"/>
          <w:szCs w:val="32"/>
        </w:rPr>
        <w:t>s and childminding arrangements</w:t>
      </w:r>
      <w:r w:rsidR="00361F34">
        <w:rPr>
          <w:rFonts w:ascii="VAG Rounded Std" w:hAnsi="VAG Rounded Std"/>
          <w:bCs/>
          <w:color w:val="595959" w:themeColor="text1" w:themeTint="A6"/>
          <w:sz w:val="28"/>
          <w:szCs w:val="32"/>
        </w:rPr>
        <w:t xml:space="preserve"> to fulfil their statutory obligations to recognise and act on any concerns about abuse</w:t>
      </w:r>
      <w:r w:rsidR="003F0F50">
        <w:rPr>
          <w:rFonts w:ascii="VAG Rounded Std" w:hAnsi="VAG Rounded Std"/>
          <w:bCs/>
          <w:color w:val="595959" w:themeColor="text1" w:themeTint="A6"/>
          <w:sz w:val="28"/>
          <w:szCs w:val="32"/>
        </w:rPr>
        <w:t>,</w:t>
      </w:r>
      <w:r w:rsidR="00361F34">
        <w:rPr>
          <w:rFonts w:ascii="VAG Rounded Std" w:hAnsi="VAG Rounded Std"/>
          <w:bCs/>
          <w:color w:val="595959" w:themeColor="text1" w:themeTint="A6"/>
          <w:sz w:val="28"/>
          <w:szCs w:val="32"/>
        </w:rPr>
        <w:t xml:space="preserve"> neglect </w:t>
      </w:r>
      <w:r w:rsidR="003F0F50">
        <w:rPr>
          <w:rFonts w:ascii="VAG Rounded Std" w:hAnsi="VAG Rounded Std"/>
          <w:bCs/>
          <w:color w:val="595959" w:themeColor="text1" w:themeTint="A6"/>
          <w:sz w:val="28"/>
          <w:szCs w:val="32"/>
        </w:rPr>
        <w:t xml:space="preserve">or other forms of harm </w:t>
      </w:r>
      <w:r w:rsidR="00361F34">
        <w:rPr>
          <w:rFonts w:ascii="VAG Rounded Std" w:hAnsi="VAG Rounded Std"/>
          <w:bCs/>
          <w:color w:val="595959" w:themeColor="text1" w:themeTint="A6"/>
          <w:sz w:val="28"/>
          <w:szCs w:val="32"/>
        </w:rPr>
        <w:t>for children and young people in their care.</w:t>
      </w:r>
    </w:p>
    <w:p w:rsidR="00DE0F4B" w:rsidRPr="00CE7F61" w:rsidRDefault="00E34EC0" w:rsidP="00DB1FEF">
      <w:p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 w:rsidRPr="00CE7F61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 xml:space="preserve"> </w:t>
      </w:r>
    </w:p>
    <w:p w:rsidR="007864A4" w:rsidRPr="00CE7F61" w:rsidRDefault="007864A4" w:rsidP="007864A4">
      <w:pPr>
        <w:rPr>
          <w:rFonts w:ascii="VAG Rounded Std" w:hAnsi="VAG Rounded Std" w:cs="Arial"/>
          <w:color w:val="92D050"/>
          <w:sz w:val="32"/>
          <w:szCs w:val="36"/>
        </w:rPr>
      </w:pPr>
      <w:r w:rsidRPr="00CE7F61">
        <w:rPr>
          <w:rFonts w:ascii="VAG Rounded Std" w:hAnsi="VAG Rounded Std" w:cs="Arial"/>
          <w:b/>
          <w:bCs/>
          <w:color w:val="92D050"/>
          <w:sz w:val="32"/>
          <w:szCs w:val="36"/>
        </w:rPr>
        <w:t>Learning Outcomes</w:t>
      </w:r>
    </w:p>
    <w:p w:rsidR="00D00422" w:rsidRDefault="00D00422" w:rsidP="00D00422">
      <w:pPr>
        <w:rPr>
          <w:rFonts w:ascii="VAG Rounded Std" w:hAnsi="VAG Rounded Std" w:cs="Arial"/>
          <w:b/>
          <w:bCs/>
          <w:color w:val="595959" w:themeColor="text1" w:themeTint="A6"/>
          <w:sz w:val="28"/>
          <w:szCs w:val="32"/>
        </w:rPr>
      </w:pPr>
      <w:r w:rsidRPr="00CE7F61">
        <w:rPr>
          <w:rFonts w:ascii="VAG Rounded Std" w:hAnsi="VAG Rounded Std" w:cs="Arial"/>
          <w:b/>
          <w:bCs/>
          <w:color w:val="595959" w:themeColor="text1" w:themeTint="A6"/>
          <w:sz w:val="28"/>
          <w:szCs w:val="32"/>
        </w:rPr>
        <w:t>By the end of the day participants will be able to:</w:t>
      </w:r>
    </w:p>
    <w:p w:rsidR="00361F34" w:rsidRDefault="00361F34" w:rsidP="00361F34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 w:rsidRPr="00361F34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Describe the role and responsibilities of a Designated Safeguarding Lead</w:t>
      </w: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 xml:space="preserve"> in fulfilling statutory duties</w:t>
      </w:r>
      <w:r w:rsidR="00361FEB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;</w:t>
      </w:r>
    </w:p>
    <w:p w:rsidR="00E033E2" w:rsidRDefault="00E033E2" w:rsidP="00E033E2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 w:rsidRPr="00E033E2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 xml:space="preserve">Identify the signs symptoms and indicators of abuse, neglect </w:t>
      </w: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in children and young people including</w:t>
      </w:r>
      <w:r w:rsidRPr="00E033E2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 xml:space="preserve"> other forms of harm </w:t>
      </w: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 xml:space="preserve">such as </w:t>
      </w:r>
      <w:r w:rsidRPr="00E033E2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FGM</w:t>
      </w: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 xml:space="preserve"> or radicalisation under the </w:t>
      </w:r>
      <w:r w:rsidRPr="00E033E2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Prevent duty</w:t>
      </w:r>
      <w:r w:rsidR="00361FEB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;</w:t>
      </w:r>
      <w:r w:rsidRPr="00E033E2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 xml:space="preserve"> </w:t>
      </w:r>
    </w:p>
    <w:p w:rsidR="00E033E2" w:rsidRDefault="00E033E2" w:rsidP="00361F34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Ensure all staff and other adults in their setting are clear about taking necessary action in accordance with policies, procedures and legislation</w:t>
      </w:r>
      <w:r w:rsidR="00D95E59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 xml:space="preserve"> and that they receive regular training, supervision and support in respect of safeguarding issues</w:t>
      </w:r>
      <w:r w:rsidR="00361FEB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;</w:t>
      </w:r>
    </w:p>
    <w:p w:rsidR="003F0F50" w:rsidRPr="00361F34" w:rsidRDefault="003F0F50" w:rsidP="00361F34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Support staff to contribute to the child protection process and to engage with other agencies to promote the safety and wellbeing of the child or young person</w:t>
      </w:r>
      <w:r w:rsidR="00361FEB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;</w:t>
      </w:r>
    </w:p>
    <w:p w:rsidR="00E033E2" w:rsidRDefault="00E033E2" w:rsidP="00E033E2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lastRenderedPageBreak/>
        <w:t>Support staff to identify children requiring early help to prevent impairment of their health and development and work with their parents or carers to promote good outcomes</w:t>
      </w:r>
      <w:r w:rsidR="00361FEB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;</w:t>
      </w:r>
    </w:p>
    <w:p w:rsidR="00E033E2" w:rsidRDefault="003F0F50" w:rsidP="00E033E2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Describe the process of r</w:t>
      </w:r>
      <w:r w:rsidR="00E033E2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eferral</w:t>
      </w: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 xml:space="preserve"> for both Child Protection concerns and concerns regarding radicalisation</w:t>
      </w:r>
      <w:bookmarkStart w:id="0" w:name="_GoBack"/>
      <w:bookmarkEnd w:id="0"/>
      <w:r w:rsidR="00616498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;</w:t>
      </w:r>
    </w:p>
    <w:p w:rsidR="003F0F50" w:rsidRDefault="003F0F50" w:rsidP="00E033E2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Apply effective safer recruitment practices and monitoring procedures to prevent unsuitable individuals posing a risk of harm to children and young people</w:t>
      </w:r>
      <w:r w:rsidR="00361FEB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;</w:t>
      </w:r>
    </w:p>
    <w:p w:rsidR="003F0F50" w:rsidRDefault="003F0F50" w:rsidP="00E033E2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 xml:space="preserve">Implement escalation procedures where there are professional disagreements and challenge </w:t>
      </w:r>
      <w:r w:rsidR="00D95E59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 xml:space="preserve">other professionals </w:t>
      </w: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effectively when necessary</w:t>
      </w:r>
      <w:r w:rsidR="00361FEB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;</w:t>
      </w:r>
    </w:p>
    <w:p w:rsidR="00D95E59" w:rsidRDefault="003F0F50" w:rsidP="00E033E2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 xml:space="preserve">Ensure </w:t>
      </w:r>
      <w:r w:rsidR="00D95E59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that staff behaviour policies are implemented effectively and that staff are aware of their responsibilities regarding Whistleblowing</w:t>
      </w:r>
      <w:r w:rsidR="00361FEB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;</w:t>
      </w:r>
    </w:p>
    <w:p w:rsidR="003F0F50" w:rsidRDefault="00D95E59" w:rsidP="00E033E2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Implement policies and procedures regarding allegations or complaints, including referrals regarding people in Positions of Trust if there is risk of harm to children</w:t>
      </w:r>
      <w:r w:rsidR="00361FEB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;</w:t>
      </w:r>
    </w:p>
    <w:p w:rsidR="00361FEB" w:rsidRDefault="00361FEB" w:rsidP="00E033E2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Describe the Offending Cycle for perpetrators of Sexual abuse;</w:t>
      </w:r>
    </w:p>
    <w:p w:rsidR="0091692E" w:rsidRDefault="00D95E59" w:rsidP="00E033E2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Apply learning and recommendations from Serious Case Reviews to their policies, procedures and practice</w:t>
      </w:r>
      <w:r w:rsidR="00361FEB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;</w:t>
      </w:r>
    </w:p>
    <w:p w:rsidR="00D95E59" w:rsidRDefault="00D95E59" w:rsidP="00E033E2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Describe how diverse personal/cultural influences can impact on assumptions and judgements made when working with children and families</w:t>
      </w:r>
      <w:r w:rsidR="00361FEB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;</w:t>
      </w:r>
    </w:p>
    <w:p w:rsidR="00D95E59" w:rsidRDefault="00D95E59" w:rsidP="00E033E2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Manage emotions evoked in staff facing child protection issues</w:t>
      </w:r>
      <w:r w:rsidR="00361FEB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;</w:t>
      </w:r>
    </w:p>
    <w:p w:rsidR="00361F34" w:rsidRDefault="00361F34" w:rsidP="00361F34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 w:rsidRPr="00E033E2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Apply best practice in recording and information sharing</w:t>
      </w:r>
      <w:r w:rsidR="00361FEB"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 xml:space="preserve"> including electronic records in relation to the Data Protection Act and requirements of the Information Commissioners’ Office;</w:t>
      </w:r>
    </w:p>
    <w:p w:rsidR="003E33FE" w:rsidRDefault="00361FEB" w:rsidP="00361F34">
      <w:pPr>
        <w:pStyle w:val="ListParagraph"/>
        <w:numPr>
          <w:ilvl w:val="0"/>
          <w:numId w:val="7"/>
        </w:numP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</w:pPr>
      <w:r>
        <w:rPr>
          <w:rFonts w:ascii="VAG Rounded Std" w:hAnsi="VAG Rounded Std" w:cs="Arial"/>
          <w:bCs/>
          <w:color w:val="595959" w:themeColor="text1" w:themeTint="A6"/>
          <w:sz w:val="28"/>
          <w:szCs w:val="32"/>
        </w:rPr>
        <w:t>Ensure that children and parents are made aware of potential safeguarding risks and are helped to identify these.</w:t>
      </w:r>
    </w:p>
    <w:p w:rsidR="00D00422" w:rsidRPr="00CE7F61" w:rsidRDefault="00D00422" w:rsidP="00D00422">
      <w:pPr>
        <w:rPr>
          <w:rFonts w:ascii="VAG Rounded Std" w:hAnsi="VAG Rounded Std" w:cs="Arial"/>
          <w:color w:val="595959" w:themeColor="text1" w:themeTint="A6"/>
          <w:sz w:val="28"/>
          <w:szCs w:val="32"/>
        </w:rPr>
      </w:pPr>
    </w:p>
    <w:sectPr w:rsidR="00D00422" w:rsidRPr="00CE7F61" w:rsidSect="006A3AF5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7A" w:rsidRDefault="004C717A" w:rsidP="00D34B11">
      <w:pPr>
        <w:spacing w:after="0" w:line="240" w:lineRule="auto"/>
      </w:pPr>
      <w:r>
        <w:separator/>
      </w:r>
    </w:p>
  </w:endnote>
  <w:endnote w:type="continuationSeparator" w:id="0">
    <w:p w:rsidR="004C717A" w:rsidRDefault="004C717A" w:rsidP="00D3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 LT Thin"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11" w:rsidRDefault="00D34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7A" w:rsidRDefault="004C717A" w:rsidP="00D34B11">
      <w:pPr>
        <w:spacing w:after="0" w:line="240" w:lineRule="auto"/>
      </w:pPr>
      <w:r>
        <w:separator/>
      </w:r>
    </w:p>
  </w:footnote>
  <w:footnote w:type="continuationSeparator" w:id="0">
    <w:p w:rsidR="004C717A" w:rsidRDefault="004C717A" w:rsidP="00D3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21E"/>
    <w:multiLevelType w:val="hybridMultilevel"/>
    <w:tmpl w:val="7304E8AC"/>
    <w:lvl w:ilvl="0" w:tplc="D5E2CE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6E7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46B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D5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C4E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6C0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66C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4B2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AC3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46D25"/>
    <w:multiLevelType w:val="hybridMultilevel"/>
    <w:tmpl w:val="FB2EE03E"/>
    <w:lvl w:ilvl="0" w:tplc="339AE0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EDC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CAD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AA5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22C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A08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42F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E8C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67E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A2EB7"/>
    <w:multiLevelType w:val="hybridMultilevel"/>
    <w:tmpl w:val="DCFE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81E83"/>
    <w:multiLevelType w:val="hybridMultilevel"/>
    <w:tmpl w:val="9F10BEEC"/>
    <w:lvl w:ilvl="0" w:tplc="D85856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48A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8AB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468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223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CEB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C09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2D5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2E1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02A27"/>
    <w:multiLevelType w:val="hybridMultilevel"/>
    <w:tmpl w:val="C242DB5A"/>
    <w:lvl w:ilvl="0" w:tplc="95E288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0B8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A90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E86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67B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472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0A4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E5D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E1D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3D7897"/>
    <w:multiLevelType w:val="hybridMultilevel"/>
    <w:tmpl w:val="0F90871C"/>
    <w:lvl w:ilvl="0" w:tplc="D234A4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CFE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E2F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41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289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A04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6A9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2B2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A2D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4015F4"/>
    <w:multiLevelType w:val="hybridMultilevel"/>
    <w:tmpl w:val="DC74DB56"/>
    <w:lvl w:ilvl="0" w:tplc="06FEBE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016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0E9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250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C20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CBD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01C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EE0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603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A4"/>
    <w:rsid w:val="0000024B"/>
    <w:rsid w:val="0000230A"/>
    <w:rsid w:val="0004587C"/>
    <w:rsid w:val="00046D18"/>
    <w:rsid w:val="00047BE6"/>
    <w:rsid w:val="000522CF"/>
    <w:rsid w:val="00055244"/>
    <w:rsid w:val="0006128B"/>
    <w:rsid w:val="00077F4D"/>
    <w:rsid w:val="00080E4C"/>
    <w:rsid w:val="00096962"/>
    <w:rsid w:val="000B0019"/>
    <w:rsid w:val="000B4F5D"/>
    <w:rsid w:val="000C15C9"/>
    <w:rsid w:val="000C1BC2"/>
    <w:rsid w:val="000E0A74"/>
    <w:rsid w:val="00106E04"/>
    <w:rsid w:val="00113A75"/>
    <w:rsid w:val="00122330"/>
    <w:rsid w:val="0012337A"/>
    <w:rsid w:val="0012758A"/>
    <w:rsid w:val="0014046C"/>
    <w:rsid w:val="00160717"/>
    <w:rsid w:val="001616F0"/>
    <w:rsid w:val="001621BB"/>
    <w:rsid w:val="00174B00"/>
    <w:rsid w:val="00184134"/>
    <w:rsid w:val="00190710"/>
    <w:rsid w:val="00191577"/>
    <w:rsid w:val="00192D4B"/>
    <w:rsid w:val="001A1F5A"/>
    <w:rsid w:val="001A553A"/>
    <w:rsid w:val="001B4287"/>
    <w:rsid w:val="001E3556"/>
    <w:rsid w:val="001E55BE"/>
    <w:rsid w:val="001E68CB"/>
    <w:rsid w:val="001F4D14"/>
    <w:rsid w:val="0020130B"/>
    <w:rsid w:val="00203CFB"/>
    <w:rsid w:val="00206542"/>
    <w:rsid w:val="00237907"/>
    <w:rsid w:val="00290230"/>
    <w:rsid w:val="00293D88"/>
    <w:rsid w:val="00295422"/>
    <w:rsid w:val="002B43B2"/>
    <w:rsid w:val="002B4B34"/>
    <w:rsid w:val="002C0EC3"/>
    <w:rsid w:val="002D0BCB"/>
    <w:rsid w:val="002D18E6"/>
    <w:rsid w:val="002D5323"/>
    <w:rsid w:val="002D737B"/>
    <w:rsid w:val="002D7A92"/>
    <w:rsid w:val="002E519A"/>
    <w:rsid w:val="002F1956"/>
    <w:rsid w:val="002F2D02"/>
    <w:rsid w:val="0030156F"/>
    <w:rsid w:val="00310232"/>
    <w:rsid w:val="00310C32"/>
    <w:rsid w:val="00314A9C"/>
    <w:rsid w:val="00316516"/>
    <w:rsid w:val="00316786"/>
    <w:rsid w:val="0032796B"/>
    <w:rsid w:val="0033358B"/>
    <w:rsid w:val="00333D14"/>
    <w:rsid w:val="003430F5"/>
    <w:rsid w:val="00361F34"/>
    <w:rsid w:val="00361FEB"/>
    <w:rsid w:val="003825F2"/>
    <w:rsid w:val="00386260"/>
    <w:rsid w:val="00394F6D"/>
    <w:rsid w:val="00396D18"/>
    <w:rsid w:val="003970F9"/>
    <w:rsid w:val="003A26DF"/>
    <w:rsid w:val="003E1C8D"/>
    <w:rsid w:val="003E33FE"/>
    <w:rsid w:val="003F0F50"/>
    <w:rsid w:val="003F2500"/>
    <w:rsid w:val="00400C6B"/>
    <w:rsid w:val="004063A9"/>
    <w:rsid w:val="00420B0C"/>
    <w:rsid w:val="00424011"/>
    <w:rsid w:val="00456145"/>
    <w:rsid w:val="00462C8C"/>
    <w:rsid w:val="004C5E20"/>
    <w:rsid w:val="004C717A"/>
    <w:rsid w:val="004C7907"/>
    <w:rsid w:val="004E3E0B"/>
    <w:rsid w:val="00500256"/>
    <w:rsid w:val="005102D3"/>
    <w:rsid w:val="00527D89"/>
    <w:rsid w:val="00531E6A"/>
    <w:rsid w:val="00542501"/>
    <w:rsid w:val="00543BFB"/>
    <w:rsid w:val="00554124"/>
    <w:rsid w:val="00555139"/>
    <w:rsid w:val="00560E82"/>
    <w:rsid w:val="00565338"/>
    <w:rsid w:val="0057105B"/>
    <w:rsid w:val="005754C0"/>
    <w:rsid w:val="00581A76"/>
    <w:rsid w:val="00581BBB"/>
    <w:rsid w:val="00582D11"/>
    <w:rsid w:val="00587F2A"/>
    <w:rsid w:val="00594D9B"/>
    <w:rsid w:val="00595025"/>
    <w:rsid w:val="005C6292"/>
    <w:rsid w:val="005D3A01"/>
    <w:rsid w:val="005F56C6"/>
    <w:rsid w:val="00602398"/>
    <w:rsid w:val="006041AC"/>
    <w:rsid w:val="0060527A"/>
    <w:rsid w:val="00615442"/>
    <w:rsid w:val="00616498"/>
    <w:rsid w:val="00617B1F"/>
    <w:rsid w:val="006277ED"/>
    <w:rsid w:val="00641556"/>
    <w:rsid w:val="00651E85"/>
    <w:rsid w:val="00673031"/>
    <w:rsid w:val="00673B1B"/>
    <w:rsid w:val="00674BCC"/>
    <w:rsid w:val="006911ED"/>
    <w:rsid w:val="006A25D4"/>
    <w:rsid w:val="006A3AF5"/>
    <w:rsid w:val="006B1AF9"/>
    <w:rsid w:val="006B7DBB"/>
    <w:rsid w:val="006C55D9"/>
    <w:rsid w:val="006E12D9"/>
    <w:rsid w:val="006E5B84"/>
    <w:rsid w:val="006F4B69"/>
    <w:rsid w:val="007016C6"/>
    <w:rsid w:val="00716AF5"/>
    <w:rsid w:val="00722B5E"/>
    <w:rsid w:val="00736F73"/>
    <w:rsid w:val="0074545C"/>
    <w:rsid w:val="0075657B"/>
    <w:rsid w:val="00757963"/>
    <w:rsid w:val="00783DAA"/>
    <w:rsid w:val="00784756"/>
    <w:rsid w:val="007864A4"/>
    <w:rsid w:val="007A0BF3"/>
    <w:rsid w:val="007B2DAE"/>
    <w:rsid w:val="007B7990"/>
    <w:rsid w:val="007B7CCC"/>
    <w:rsid w:val="007C1BAB"/>
    <w:rsid w:val="007C2441"/>
    <w:rsid w:val="007D10E5"/>
    <w:rsid w:val="007D1F91"/>
    <w:rsid w:val="007D7C97"/>
    <w:rsid w:val="007F5FD3"/>
    <w:rsid w:val="00802FF2"/>
    <w:rsid w:val="00820C22"/>
    <w:rsid w:val="00845BE9"/>
    <w:rsid w:val="0086458F"/>
    <w:rsid w:val="0087544D"/>
    <w:rsid w:val="008824AA"/>
    <w:rsid w:val="00887EE5"/>
    <w:rsid w:val="00895F00"/>
    <w:rsid w:val="008A09EC"/>
    <w:rsid w:val="008A3CD7"/>
    <w:rsid w:val="008A5738"/>
    <w:rsid w:val="008D0D4C"/>
    <w:rsid w:val="008E293B"/>
    <w:rsid w:val="00905096"/>
    <w:rsid w:val="009075F3"/>
    <w:rsid w:val="00913D00"/>
    <w:rsid w:val="0091692E"/>
    <w:rsid w:val="00917F06"/>
    <w:rsid w:val="009464CF"/>
    <w:rsid w:val="00947B3B"/>
    <w:rsid w:val="00962C72"/>
    <w:rsid w:val="00965995"/>
    <w:rsid w:val="0098075A"/>
    <w:rsid w:val="00993819"/>
    <w:rsid w:val="00997057"/>
    <w:rsid w:val="009A4176"/>
    <w:rsid w:val="009B3C4D"/>
    <w:rsid w:val="009C49D8"/>
    <w:rsid w:val="009D071A"/>
    <w:rsid w:val="009D4BB5"/>
    <w:rsid w:val="009E53F1"/>
    <w:rsid w:val="00A00A3F"/>
    <w:rsid w:val="00A0636C"/>
    <w:rsid w:val="00A07D10"/>
    <w:rsid w:val="00A13196"/>
    <w:rsid w:val="00A25FA9"/>
    <w:rsid w:val="00A60B93"/>
    <w:rsid w:val="00A758E9"/>
    <w:rsid w:val="00A82B12"/>
    <w:rsid w:val="00A90EA0"/>
    <w:rsid w:val="00A9151A"/>
    <w:rsid w:val="00A91BAF"/>
    <w:rsid w:val="00AB2CE5"/>
    <w:rsid w:val="00AC02CC"/>
    <w:rsid w:val="00AC29C5"/>
    <w:rsid w:val="00AC4EE8"/>
    <w:rsid w:val="00AD5A11"/>
    <w:rsid w:val="00AD72D7"/>
    <w:rsid w:val="00B34DCC"/>
    <w:rsid w:val="00B51F1D"/>
    <w:rsid w:val="00B54279"/>
    <w:rsid w:val="00B5564C"/>
    <w:rsid w:val="00B55BA2"/>
    <w:rsid w:val="00B642EF"/>
    <w:rsid w:val="00B8193E"/>
    <w:rsid w:val="00B83216"/>
    <w:rsid w:val="00B90380"/>
    <w:rsid w:val="00B9155E"/>
    <w:rsid w:val="00B94473"/>
    <w:rsid w:val="00BA28B1"/>
    <w:rsid w:val="00BB23D0"/>
    <w:rsid w:val="00BB7EA0"/>
    <w:rsid w:val="00BC2A7C"/>
    <w:rsid w:val="00BC40C0"/>
    <w:rsid w:val="00BC47F8"/>
    <w:rsid w:val="00BE4A79"/>
    <w:rsid w:val="00BE608F"/>
    <w:rsid w:val="00BF04C2"/>
    <w:rsid w:val="00C02ED1"/>
    <w:rsid w:val="00C16D4D"/>
    <w:rsid w:val="00C40DE9"/>
    <w:rsid w:val="00C52184"/>
    <w:rsid w:val="00C55418"/>
    <w:rsid w:val="00C67335"/>
    <w:rsid w:val="00C74E5D"/>
    <w:rsid w:val="00C91D69"/>
    <w:rsid w:val="00CA08C5"/>
    <w:rsid w:val="00CA23DF"/>
    <w:rsid w:val="00CA4972"/>
    <w:rsid w:val="00CB4B6E"/>
    <w:rsid w:val="00CC007B"/>
    <w:rsid w:val="00CC2D23"/>
    <w:rsid w:val="00CD6013"/>
    <w:rsid w:val="00CD7CCE"/>
    <w:rsid w:val="00CE7F61"/>
    <w:rsid w:val="00CF7DC9"/>
    <w:rsid w:val="00D00422"/>
    <w:rsid w:val="00D05C36"/>
    <w:rsid w:val="00D34B11"/>
    <w:rsid w:val="00D444BA"/>
    <w:rsid w:val="00D5590D"/>
    <w:rsid w:val="00D602D0"/>
    <w:rsid w:val="00D6271B"/>
    <w:rsid w:val="00D70C50"/>
    <w:rsid w:val="00D90618"/>
    <w:rsid w:val="00D944E9"/>
    <w:rsid w:val="00D94FA7"/>
    <w:rsid w:val="00D95E59"/>
    <w:rsid w:val="00DA4677"/>
    <w:rsid w:val="00DB0E81"/>
    <w:rsid w:val="00DB1FEF"/>
    <w:rsid w:val="00DB7B87"/>
    <w:rsid w:val="00DC14ED"/>
    <w:rsid w:val="00DC6E2F"/>
    <w:rsid w:val="00DD2CA9"/>
    <w:rsid w:val="00DE0F4B"/>
    <w:rsid w:val="00E033E2"/>
    <w:rsid w:val="00E1524E"/>
    <w:rsid w:val="00E263AA"/>
    <w:rsid w:val="00E275E7"/>
    <w:rsid w:val="00E34EC0"/>
    <w:rsid w:val="00E36C5D"/>
    <w:rsid w:val="00E4349A"/>
    <w:rsid w:val="00E619AF"/>
    <w:rsid w:val="00E81C11"/>
    <w:rsid w:val="00E91E9D"/>
    <w:rsid w:val="00E91F91"/>
    <w:rsid w:val="00EB296A"/>
    <w:rsid w:val="00EC4884"/>
    <w:rsid w:val="00EC59FB"/>
    <w:rsid w:val="00EC7223"/>
    <w:rsid w:val="00ED35DA"/>
    <w:rsid w:val="00ED7B4B"/>
    <w:rsid w:val="00EE129F"/>
    <w:rsid w:val="00EF1D52"/>
    <w:rsid w:val="00EF2673"/>
    <w:rsid w:val="00F20613"/>
    <w:rsid w:val="00F20C83"/>
    <w:rsid w:val="00F27752"/>
    <w:rsid w:val="00F31D05"/>
    <w:rsid w:val="00F34686"/>
    <w:rsid w:val="00F40FCD"/>
    <w:rsid w:val="00F52015"/>
    <w:rsid w:val="00F66FDF"/>
    <w:rsid w:val="00F77B07"/>
    <w:rsid w:val="00F85EA7"/>
    <w:rsid w:val="00FA43E0"/>
    <w:rsid w:val="00FA54B7"/>
    <w:rsid w:val="00FB3350"/>
    <w:rsid w:val="00FB517C"/>
    <w:rsid w:val="00FD4903"/>
    <w:rsid w:val="00FE2C22"/>
    <w:rsid w:val="00FF2303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11"/>
  </w:style>
  <w:style w:type="paragraph" w:styleId="Footer">
    <w:name w:val="footer"/>
    <w:basedOn w:val="Normal"/>
    <w:link w:val="FooterChar"/>
    <w:uiPriority w:val="99"/>
    <w:unhideWhenUsed/>
    <w:rsid w:val="00D3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11"/>
  </w:style>
  <w:style w:type="paragraph" w:styleId="BalloonText">
    <w:name w:val="Balloon Text"/>
    <w:basedOn w:val="Normal"/>
    <w:link w:val="BalloonTextChar"/>
    <w:uiPriority w:val="99"/>
    <w:semiHidden/>
    <w:unhideWhenUsed/>
    <w:rsid w:val="00D3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422"/>
    <w:pPr>
      <w:ind w:left="720"/>
      <w:contextualSpacing/>
    </w:pPr>
  </w:style>
  <w:style w:type="paragraph" w:customStyle="1" w:styleId="Default">
    <w:name w:val="Default"/>
    <w:rsid w:val="00361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11"/>
  </w:style>
  <w:style w:type="paragraph" w:styleId="Footer">
    <w:name w:val="footer"/>
    <w:basedOn w:val="Normal"/>
    <w:link w:val="FooterChar"/>
    <w:uiPriority w:val="99"/>
    <w:unhideWhenUsed/>
    <w:rsid w:val="00D3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11"/>
  </w:style>
  <w:style w:type="paragraph" w:styleId="BalloonText">
    <w:name w:val="Balloon Text"/>
    <w:basedOn w:val="Normal"/>
    <w:link w:val="BalloonTextChar"/>
    <w:uiPriority w:val="99"/>
    <w:semiHidden/>
    <w:unhideWhenUsed/>
    <w:rsid w:val="00D3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422"/>
    <w:pPr>
      <w:ind w:left="720"/>
      <w:contextualSpacing/>
    </w:pPr>
  </w:style>
  <w:style w:type="paragraph" w:customStyle="1" w:styleId="Default">
    <w:name w:val="Default"/>
    <w:rsid w:val="00361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0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BAAF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Ridley</dc:creator>
  <cp:lastModifiedBy>Nicky Probert</cp:lastModifiedBy>
  <cp:revision>4</cp:revision>
  <dcterms:created xsi:type="dcterms:W3CDTF">2017-04-13T09:04:00Z</dcterms:created>
  <dcterms:modified xsi:type="dcterms:W3CDTF">2017-04-19T10:44:00Z</dcterms:modified>
</cp:coreProperties>
</file>